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53EFDF" w14:textId="72C74020" w:rsidR="1B4F97BA" w:rsidRDefault="1B4F97BA" w:rsidP="1B4F97BA">
      <w:pPr>
        <w:pStyle w:val="Heading1"/>
      </w:pPr>
      <w:bookmarkStart w:id="0" w:name="_GoBack"/>
      <w:bookmarkEnd w:id="0"/>
      <w:r w:rsidRPr="1B4F97BA">
        <w:rPr>
          <w:rFonts w:ascii="Calibri" w:eastAsia="Calibri" w:hAnsi="Calibri" w:cs="Calibri"/>
          <w:color w:val="000000" w:themeColor="text1"/>
          <w:sz w:val="66"/>
          <w:szCs w:val="66"/>
        </w:rPr>
        <w:t>Assessment 2 Instructions: Fraud and Abuse: Incorrect Billing Practices</w:t>
      </w:r>
    </w:p>
    <w:p w14:paraId="255A305C" w14:textId="10CD2D96" w:rsidR="1B4F97BA" w:rsidRDefault="1B4F97BA" w:rsidP="1B4F97BA">
      <w:pPr>
        <w:pStyle w:val="ListParagraph"/>
        <w:numPr>
          <w:ilvl w:val="0"/>
          <w:numId w:val="1"/>
        </w:numPr>
        <w:rPr>
          <w:rFonts w:eastAsiaTheme="minorEastAsia"/>
          <w:color w:val="FFFFFF" w:themeColor="background1"/>
          <w:sz w:val="18"/>
          <w:szCs w:val="18"/>
        </w:rPr>
      </w:pPr>
      <w:r w:rsidRPr="1B4F97BA">
        <w:rPr>
          <w:rFonts w:ascii="Calibri" w:eastAsia="Calibri" w:hAnsi="Calibri" w:cs="Calibri"/>
          <w:caps/>
          <w:color w:val="FFFFFF" w:themeColor="background1"/>
          <w:sz w:val="18"/>
          <w:szCs w:val="18"/>
        </w:rPr>
        <w:t>PRINT</w:t>
      </w:r>
    </w:p>
    <w:p w14:paraId="49C13421" w14:textId="2C22522F" w:rsidR="1B4F97BA" w:rsidRDefault="1B4F97BA" w:rsidP="1B4F97BA">
      <w:pPr>
        <w:pStyle w:val="ListParagraph"/>
        <w:numPr>
          <w:ilvl w:val="0"/>
          <w:numId w:val="1"/>
        </w:numPr>
        <w:rPr>
          <w:rFonts w:eastAsiaTheme="minorEastAsia"/>
          <w:color w:val="222222"/>
          <w:sz w:val="25"/>
          <w:szCs w:val="25"/>
        </w:rPr>
      </w:pPr>
      <w:r w:rsidRPr="1B4F97BA">
        <w:rPr>
          <w:rFonts w:ascii="Calibri" w:eastAsia="Calibri" w:hAnsi="Calibri" w:cs="Calibri"/>
          <w:color w:val="222222"/>
          <w:sz w:val="25"/>
          <w:szCs w:val="25"/>
        </w:rPr>
        <w:t xml:space="preserve">Write a workplace brief (5-7 single-spaced pages) of evidence-based recommendations to identify and address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an incorrect health care billing practice. Include a description of the major categories of health care fraud and abuse and the laws designed to address them.</w:t>
      </w:r>
    </w:p>
    <w:p w14:paraId="00545B1E" w14:textId="70B729C0" w:rsidR="1B4F97BA" w:rsidRDefault="1B4F97BA" w:rsidP="1B4F97BA">
      <w:pPr>
        <w:pStyle w:val="Heading4"/>
      </w:pPr>
      <w:r w:rsidRPr="1B4F97BA">
        <w:rPr>
          <w:rFonts w:ascii="Calibri" w:eastAsia="Calibri" w:hAnsi="Calibri" w:cs="Calibri"/>
          <w:color w:val="222222"/>
          <w:sz w:val="40"/>
          <w:szCs w:val="40"/>
        </w:rPr>
        <w:t>Introduction</w:t>
      </w:r>
    </w:p>
    <w:p w14:paraId="4BBDDC03" w14:textId="74A36D49" w:rsidR="1B4F97BA" w:rsidRDefault="1B4F97BA">
      <w:r w:rsidRPr="1B4F97BA">
        <w:rPr>
          <w:rFonts w:ascii="Calibri" w:eastAsia="Calibri" w:hAnsi="Calibri" w:cs="Calibri"/>
          <w:color w:val="222222"/>
          <w:sz w:val="25"/>
          <w:szCs w:val="25"/>
        </w:rPr>
        <w:t xml:space="preserve">Health care leaders must be familiar with laws, regulations, and the associated organizational policies and procedures that support compliance. Fraud and abuse is just one example of an important compliance area in health care administration. This is a complex </w:t>
      </w:r>
      <w:proofErr w:type="gramStart"/>
      <w:r w:rsidRPr="1B4F97BA">
        <w:rPr>
          <w:rFonts w:ascii="Calibri" w:eastAsia="Calibri" w:hAnsi="Calibri" w:cs="Calibri"/>
          <w:color w:val="222222"/>
          <w:sz w:val="25"/>
          <w:szCs w:val="25"/>
        </w:rPr>
        <w:t>legal</w:t>
      </w:r>
      <w:proofErr w:type="gramEnd"/>
      <w:r w:rsidRPr="1B4F97BA">
        <w:rPr>
          <w:rFonts w:ascii="Calibri" w:eastAsia="Calibri" w:hAnsi="Calibri" w:cs="Calibri"/>
          <w:color w:val="222222"/>
          <w:sz w:val="25"/>
          <w:szCs w:val="25"/>
        </w:rPr>
        <w:t xml:space="preserve"> subject; many helpful government resources, however, are available to enhance understanding of laws, regulations, and the steps to take when suspected or actual incidents occur.</w:t>
      </w:r>
    </w:p>
    <w:p w14:paraId="298638E1" w14:textId="6B2A5972" w:rsidR="1B4F97BA" w:rsidRDefault="1B4F97BA">
      <w:r w:rsidRPr="1B4F97BA">
        <w:rPr>
          <w:rFonts w:ascii="Calibri" w:eastAsia="Calibri" w:hAnsi="Calibri" w:cs="Calibri"/>
          <w:color w:val="222222"/>
          <w:sz w:val="25"/>
          <w:szCs w:val="25"/>
        </w:rPr>
        <w:t>Other important legal considerations within health care fraud and abuse include the:</w:t>
      </w:r>
    </w:p>
    <w:p w14:paraId="6F9FA8E5" w14:textId="5F25D555"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Federal False Claims Act.</w:t>
      </w:r>
    </w:p>
    <w:p w14:paraId="50F99C36" w14:textId="6DC7172F"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Anti-Kickback Statute.</w:t>
      </w:r>
    </w:p>
    <w:p w14:paraId="0286162B" w14:textId="4A54F630"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Physician Self-Referral Law.</w:t>
      </w:r>
    </w:p>
    <w:p w14:paraId="3E70EF83" w14:textId="28571113"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Criminal Health Care Fraud Statute.</w:t>
      </w:r>
    </w:p>
    <w:p w14:paraId="5C8A846E" w14:textId="76BC0E1D"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Exclusion Statute.</w:t>
      </w:r>
    </w:p>
    <w:p w14:paraId="5D787D44" w14:textId="1ECBE286"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Civil Monetary Penalties Law.</w:t>
      </w:r>
    </w:p>
    <w:p w14:paraId="442B58FB" w14:textId="66B6A607" w:rsidR="1B4F97BA" w:rsidRDefault="1B4F97BA" w:rsidP="1B4F97BA">
      <w:pPr>
        <w:numPr>
          <w:ilvl w:val="0"/>
          <w:numId w:val="1"/>
        </w:numPr>
        <w:rPr>
          <w:color w:val="222222"/>
          <w:sz w:val="25"/>
          <w:szCs w:val="25"/>
        </w:rPr>
      </w:pPr>
      <w:r w:rsidRPr="1B4F97BA">
        <w:rPr>
          <w:rFonts w:ascii="Calibri" w:eastAsia="Calibri" w:hAnsi="Calibri" w:cs="Calibri"/>
          <w:color w:val="222222"/>
          <w:sz w:val="25"/>
          <w:szCs w:val="25"/>
        </w:rPr>
        <w:t>Some of these involve related or overlapping areas.</w:t>
      </w:r>
    </w:p>
    <w:p w14:paraId="3E512C36" w14:textId="29403F56" w:rsidR="1B4F97BA" w:rsidRDefault="1B4F97BA" w:rsidP="1B4F97BA">
      <w:pPr>
        <w:numPr>
          <w:ilvl w:val="0"/>
          <w:numId w:val="1"/>
        </w:numPr>
        <w:rPr>
          <w:color w:val="222222"/>
          <w:sz w:val="25"/>
          <w:szCs w:val="25"/>
        </w:rPr>
      </w:pPr>
      <w:r w:rsidRPr="1B4F97BA">
        <w:rPr>
          <w:rFonts w:ascii="Calibri" w:eastAsia="Calibri" w:hAnsi="Calibri" w:cs="Calibri"/>
          <w:color w:val="222222"/>
          <w:sz w:val="25"/>
          <w:szCs w:val="25"/>
        </w:rPr>
        <w:t xml:space="preserve">This point in your health care administration career is an ideal time to deepen your knowledge of, and skills in, these fraud and abuse areas. You may wish to develop a short list of legal topics to </w:t>
      </w:r>
      <w:proofErr w:type="gramStart"/>
      <w:r w:rsidRPr="1B4F97BA">
        <w:rPr>
          <w:rFonts w:ascii="Calibri" w:eastAsia="Calibri" w:hAnsi="Calibri" w:cs="Calibri"/>
          <w:color w:val="222222"/>
          <w:sz w:val="25"/>
          <w:szCs w:val="25"/>
        </w:rPr>
        <w:t>assist  in</w:t>
      </w:r>
      <w:proofErr w:type="gramEnd"/>
      <w:r w:rsidRPr="1B4F97BA">
        <w:rPr>
          <w:rFonts w:ascii="Calibri" w:eastAsia="Calibri" w:hAnsi="Calibri" w:cs="Calibri"/>
          <w:color w:val="222222"/>
          <w:sz w:val="25"/>
          <w:szCs w:val="25"/>
        </w:rPr>
        <w:t xml:space="preserve"> ongoing future monitoring workplace activities. It is important to include the associated authoritative governmental websites in your topic list.</w:t>
      </w:r>
    </w:p>
    <w:p w14:paraId="47C3F7B0" w14:textId="25E779B6" w:rsidR="1B4F97BA" w:rsidRDefault="1B4F97BA" w:rsidP="1B4F97BA">
      <w:pPr>
        <w:numPr>
          <w:ilvl w:val="0"/>
          <w:numId w:val="1"/>
        </w:numPr>
        <w:rPr>
          <w:color w:val="222222"/>
          <w:sz w:val="25"/>
          <w:szCs w:val="25"/>
        </w:rPr>
      </w:pPr>
      <w:r w:rsidRPr="1B4F97BA">
        <w:rPr>
          <w:rFonts w:ascii="Calibri" w:eastAsia="Calibri" w:hAnsi="Calibri" w:cs="Calibri"/>
          <w:color w:val="222222"/>
          <w:sz w:val="25"/>
          <w:szCs w:val="25"/>
        </w:rPr>
        <w:t xml:space="preserve">In this assessment, you will continue your team work for Vila Health's Chief Compliance Officer. This time, you have been tasked with constructing a workplace </w:t>
      </w:r>
      <w:r w:rsidRPr="1B4F97BA">
        <w:rPr>
          <w:rFonts w:ascii="Calibri" w:eastAsia="Calibri" w:hAnsi="Calibri" w:cs="Calibri"/>
          <w:color w:val="222222"/>
          <w:sz w:val="25"/>
          <w:szCs w:val="25"/>
        </w:rPr>
        <w:lastRenderedPageBreak/>
        <w:t xml:space="preserve">brief for recommendations on identification of and interventions to address incorrect healthcare billing practices. In this case,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is the incorrect billing practice that is the focus of the Chief Compliance Officer. Your workplace brief will be used to influence future policy and procedure content for billing practices, including the incorrect practice of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w:t>
      </w:r>
    </w:p>
    <w:p w14:paraId="37954E80" w14:textId="33810D65" w:rsidR="1B4F97BA" w:rsidRDefault="1B4F97BA" w:rsidP="1B4F97BA">
      <w:pPr>
        <w:pStyle w:val="Heading4"/>
      </w:pPr>
      <w:r w:rsidRPr="1B4F97BA">
        <w:rPr>
          <w:rFonts w:ascii="Calibri" w:eastAsia="Calibri" w:hAnsi="Calibri" w:cs="Calibri"/>
          <w:color w:val="222222"/>
          <w:sz w:val="40"/>
          <w:szCs w:val="40"/>
        </w:rPr>
        <w:t>Demonstration of Proficiency</w:t>
      </w:r>
    </w:p>
    <w:p w14:paraId="32F6E40F" w14:textId="216435C6" w:rsidR="1B4F97BA" w:rsidRDefault="1B4F97BA">
      <w:r w:rsidRPr="1B4F97BA">
        <w:rPr>
          <w:rFonts w:ascii="Calibri" w:eastAsia="Calibri" w:hAnsi="Calibri" w:cs="Calibri"/>
          <w:color w:val="222222"/>
          <w:sz w:val="25"/>
          <w:szCs w:val="25"/>
        </w:rPr>
        <w:t xml:space="preserve">By successfully completing this assessment, you will demonstrate your proficiency in the course competencies through the following assessment scoring guide criteria: </w:t>
      </w:r>
    </w:p>
    <w:p w14:paraId="4F755522" w14:textId="1795A003"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Competency 1: Analyze health care laws and regulations from a local, state, and federal level.</w:t>
      </w:r>
    </w:p>
    <w:p w14:paraId="3B90C430" w14:textId="38DA4F76"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 xml:space="preserve">Describe major categories of health care fraud and abuse, including the billing practice known as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w:t>
      </w:r>
    </w:p>
    <w:p w14:paraId="57A4B7ED" w14:textId="359D7052"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Competency 3: Assess the importance of continuous readiness in the health care organization.</w:t>
      </w:r>
    </w:p>
    <w:p w14:paraId="012839D2" w14:textId="72BF0717"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 xml:space="preserve">Propose a list of evidence-based recommendations based on information from the Office of the Inspector General to identify and address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within a health care organization.</w:t>
      </w:r>
    </w:p>
    <w:p w14:paraId="5FBC793C" w14:textId="47065A42"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Competency 4: Explain how governing body and regulatory agency standards exercise oversight authority within a health care organizational setting.</w:t>
      </w:r>
    </w:p>
    <w:p w14:paraId="6D719DEB" w14:textId="52928EA8"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Provide a synopsis of five laws relating to health care fraud and abuse.</w:t>
      </w:r>
    </w:p>
    <w:p w14:paraId="700AF1C5" w14:textId="31845D28"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 xml:space="preserve">Explain one law that pertains to the practice of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w:t>
      </w:r>
    </w:p>
    <w:p w14:paraId="36AC3BB2" w14:textId="015437F3"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14869528" w14:textId="314BF93E"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 xml:space="preserve">Develop a clear, concise, well-organized, and generally error-free workplace brief that provides evidence-based recommendations about how to identify and address the incorrect billing practice of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w:t>
      </w:r>
    </w:p>
    <w:p w14:paraId="29564611" w14:textId="7BABC892" w:rsidR="1B4F97BA" w:rsidRDefault="1B4F97BA" w:rsidP="1B4F97BA">
      <w:pPr>
        <w:pStyle w:val="Heading4"/>
      </w:pPr>
      <w:r w:rsidRPr="1B4F97BA">
        <w:rPr>
          <w:rFonts w:ascii="Calibri" w:eastAsia="Calibri" w:hAnsi="Calibri" w:cs="Calibri"/>
          <w:color w:val="222222"/>
          <w:sz w:val="40"/>
          <w:szCs w:val="40"/>
        </w:rPr>
        <w:t>Instructions</w:t>
      </w:r>
    </w:p>
    <w:p w14:paraId="6CDB0747" w14:textId="43859E0D" w:rsidR="1B4F97BA" w:rsidRDefault="1B4F97BA">
      <w:r w:rsidRPr="1B4F97BA">
        <w:rPr>
          <w:rFonts w:ascii="Calibri" w:eastAsia="Calibri" w:hAnsi="Calibri" w:cs="Calibri"/>
          <w:color w:val="222222"/>
          <w:sz w:val="25"/>
          <w:szCs w:val="25"/>
        </w:rPr>
        <w:t xml:space="preserve">In this assessment you will continue as a member of the Chief Compliance Officer's team. Recently, an incorrect billing practice known as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has been discovered.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is a common area for fraud and abuse, and the recent incident has become an area of major focus for the Chief Compliance Officer.</w:t>
      </w:r>
    </w:p>
    <w:p w14:paraId="49B29B2D" w14:textId="4F2E29A9" w:rsidR="1B4F97BA" w:rsidRDefault="1B4F97BA">
      <w:r w:rsidRPr="1B4F97BA">
        <w:rPr>
          <w:rFonts w:ascii="Calibri" w:eastAsia="Calibri" w:hAnsi="Calibri" w:cs="Calibri"/>
          <w:color w:val="222222"/>
          <w:sz w:val="25"/>
          <w:szCs w:val="25"/>
        </w:rPr>
        <w:t xml:space="preserve">The Chief Compliance Officer has tasked you with researching and making evidence-based recommendations about how to identify and address this incorrect billing practice. Your </w:t>
      </w:r>
      <w:r w:rsidRPr="1B4F97BA">
        <w:rPr>
          <w:rFonts w:ascii="Calibri" w:eastAsia="Calibri" w:hAnsi="Calibri" w:cs="Calibri"/>
          <w:color w:val="222222"/>
          <w:sz w:val="25"/>
          <w:szCs w:val="25"/>
        </w:rPr>
        <w:lastRenderedPageBreak/>
        <w:t>recommendations will be considered for possible inclusion in future policy and procedure content.</w:t>
      </w:r>
    </w:p>
    <w:p w14:paraId="1CD7B10F" w14:textId="050C1DDB" w:rsidR="1B4F97BA" w:rsidRDefault="1B4F97BA">
      <w:r w:rsidRPr="1B4F97BA">
        <w:rPr>
          <w:rFonts w:ascii="Calibri" w:eastAsia="Calibri" w:hAnsi="Calibri" w:cs="Calibri"/>
          <w:color w:val="222222"/>
          <w:sz w:val="25"/>
          <w:szCs w:val="25"/>
        </w:rPr>
        <w:t xml:space="preserve">The Chief Compliance Officer has stressed with you the importance of incorporating evidence-based recommendations. This individual is specifically interested in the Office of the Inspector General's position on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any relevant case precedents, and any available resources for health care organizations. You know from experience that the workplace brief will need to include substantiation of all facts and recommendations from authoritative sources. The team leader has asked you cover all of the following headings in your brief:</w:t>
      </w:r>
    </w:p>
    <w:p w14:paraId="366BDBE9" w14:textId="15F23D66" w:rsidR="1B4F97BA" w:rsidRDefault="1B4F97BA" w:rsidP="1B4F97BA">
      <w:pPr>
        <w:pStyle w:val="Heading5"/>
      </w:pPr>
      <w:r w:rsidRPr="1B4F97BA">
        <w:rPr>
          <w:rFonts w:ascii="Calibri" w:eastAsia="Calibri" w:hAnsi="Calibri" w:cs="Calibri"/>
          <w:color w:val="222222"/>
          <w:sz w:val="25"/>
          <w:szCs w:val="25"/>
        </w:rPr>
        <w:t>Major Categories of Health Care Fraud and Abuse (1 page)</w:t>
      </w:r>
    </w:p>
    <w:p w14:paraId="30E00CBD" w14:textId="4DF4DDA9"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Describe the major categories of health care fraud and abuse.</w:t>
      </w:r>
    </w:p>
    <w:p w14:paraId="22008DC3" w14:textId="3E9E21BF"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 xml:space="preserve">Be sure to include the billing practice known as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w:t>
      </w:r>
    </w:p>
    <w:p w14:paraId="2C672A76" w14:textId="4F538D74" w:rsidR="1B4F97BA" w:rsidRDefault="1B4F97BA" w:rsidP="1B4F97BA">
      <w:pPr>
        <w:pStyle w:val="Heading5"/>
      </w:pPr>
      <w:r w:rsidRPr="1B4F97BA">
        <w:rPr>
          <w:rFonts w:ascii="Calibri" w:eastAsia="Calibri" w:hAnsi="Calibri" w:cs="Calibri"/>
          <w:color w:val="222222"/>
          <w:sz w:val="25"/>
          <w:szCs w:val="25"/>
        </w:rPr>
        <w:t>Five Health Care Fraud and Abuse Laws (2 pages)</w:t>
      </w:r>
    </w:p>
    <w:p w14:paraId="7B725D3D" w14:textId="10F273EE"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Provide a synopsis of five laws relating to health care fraud and abuse.</w:t>
      </w:r>
    </w:p>
    <w:p w14:paraId="28BC07AB" w14:textId="2F8FE06A"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Include the rationale for why you selected the laws you did.</w:t>
      </w:r>
    </w:p>
    <w:p w14:paraId="5145B775" w14:textId="5F51429E" w:rsidR="1B4F97BA" w:rsidRDefault="1B4F97BA" w:rsidP="1B4F97BA">
      <w:pPr>
        <w:pStyle w:val="Heading5"/>
      </w:pP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and the Law (1 to 2 pages)</w:t>
      </w:r>
    </w:p>
    <w:p w14:paraId="30BAAE22" w14:textId="2B05A684"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 xml:space="preserve">Explain in detail one law pertaining to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w:t>
      </w:r>
    </w:p>
    <w:p w14:paraId="028310DD" w14:textId="2D2F8EBE"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 xml:space="preserve">Be sure to explain how the law specifically applies to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w:t>
      </w:r>
    </w:p>
    <w:p w14:paraId="3C58E04B" w14:textId="5B0D2DFD"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 xml:space="preserve">Provide an actual example of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w:t>
      </w:r>
    </w:p>
    <w:p w14:paraId="588DF2E9" w14:textId="29A6F62A"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Select your example from your suggested resources, from research you conducted on the topic, or from your professional experience. If your example stems from your professional experience, please be sure to protect individual and organizational identities.</w:t>
      </w:r>
    </w:p>
    <w:p w14:paraId="3EB3BA55" w14:textId="204E694E" w:rsidR="1B4F97BA" w:rsidRDefault="1B4F97BA" w:rsidP="1B4F97BA">
      <w:pPr>
        <w:pStyle w:val="Heading5"/>
      </w:pPr>
      <w:r w:rsidRPr="1B4F97BA">
        <w:rPr>
          <w:rFonts w:ascii="Calibri" w:eastAsia="Calibri" w:hAnsi="Calibri" w:cs="Calibri"/>
          <w:color w:val="222222"/>
          <w:sz w:val="25"/>
          <w:szCs w:val="25"/>
        </w:rPr>
        <w:t xml:space="preserve">Identifying and Addressing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in Health Care (1 to 2 pages)</w:t>
      </w:r>
    </w:p>
    <w:p w14:paraId="4A56FDB0" w14:textId="3C2B659B"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 xml:space="preserve">Propose a list of evidence-based recommendations to identify and address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 xml:space="preserve"> in the health care environment.  </w:t>
      </w:r>
    </w:p>
    <w:p w14:paraId="28E067C4" w14:textId="6B26AA08"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 xml:space="preserve">Be sure to consider in your recommendations what the Office of Inspector General has to say about identifying and addressing </w:t>
      </w:r>
      <w:proofErr w:type="spellStart"/>
      <w:r w:rsidRPr="1B4F97BA">
        <w:rPr>
          <w:rFonts w:ascii="Calibri" w:eastAsia="Calibri" w:hAnsi="Calibri" w:cs="Calibri"/>
          <w:color w:val="222222"/>
          <w:sz w:val="25"/>
          <w:szCs w:val="25"/>
        </w:rPr>
        <w:t>upcoding</w:t>
      </w:r>
      <w:proofErr w:type="spellEnd"/>
      <w:r w:rsidRPr="1B4F97BA">
        <w:rPr>
          <w:rFonts w:ascii="Calibri" w:eastAsia="Calibri" w:hAnsi="Calibri" w:cs="Calibri"/>
          <w:color w:val="222222"/>
          <w:sz w:val="25"/>
          <w:szCs w:val="25"/>
        </w:rPr>
        <w:t>.</w:t>
      </w:r>
    </w:p>
    <w:p w14:paraId="2F3661BE" w14:textId="5E91CCD7" w:rsidR="1B4F97BA" w:rsidRDefault="1B4F97BA" w:rsidP="1B4F97BA">
      <w:pPr>
        <w:pStyle w:val="ListParagraph"/>
        <w:numPr>
          <w:ilvl w:val="2"/>
          <w:numId w:val="1"/>
        </w:numPr>
        <w:rPr>
          <w:rFonts w:eastAsiaTheme="minorEastAsia"/>
          <w:color w:val="222222"/>
          <w:sz w:val="25"/>
          <w:szCs w:val="25"/>
        </w:rPr>
      </w:pPr>
      <w:r w:rsidRPr="1B4F97BA">
        <w:rPr>
          <w:rFonts w:ascii="Calibri" w:eastAsia="Calibri" w:hAnsi="Calibri" w:cs="Calibri"/>
          <w:color w:val="222222"/>
          <w:sz w:val="25"/>
          <w:szCs w:val="25"/>
        </w:rPr>
        <w:t>Tip: Visit these websites:</w:t>
      </w:r>
    </w:p>
    <w:p w14:paraId="743E2C9E" w14:textId="33CF9789" w:rsidR="1B4F97BA" w:rsidRDefault="1B4F97BA" w:rsidP="1B4F97BA">
      <w:pPr>
        <w:pStyle w:val="ListParagraph"/>
        <w:numPr>
          <w:ilvl w:val="3"/>
          <w:numId w:val="1"/>
        </w:numPr>
        <w:rPr>
          <w:rFonts w:eastAsiaTheme="minorEastAsia"/>
          <w:color w:val="222222"/>
          <w:sz w:val="25"/>
          <w:szCs w:val="25"/>
        </w:rPr>
      </w:pPr>
      <w:r w:rsidRPr="1B4F97BA">
        <w:rPr>
          <w:rFonts w:ascii="Calibri" w:eastAsia="Calibri" w:hAnsi="Calibri" w:cs="Calibri"/>
          <w:color w:val="222222"/>
          <w:sz w:val="25"/>
          <w:szCs w:val="25"/>
        </w:rPr>
        <w:t xml:space="preserve">Centers for Medicare and Medicaid Services. (2017). </w:t>
      </w:r>
      <w:hyperlink r:id="rId5">
        <w:r w:rsidRPr="1B4F97BA">
          <w:rPr>
            <w:rStyle w:val="Hyperlink"/>
            <w:rFonts w:ascii="Calibri" w:eastAsia="Calibri" w:hAnsi="Calibri" w:cs="Calibri"/>
            <w:color w:val="0F6DA8"/>
            <w:sz w:val="25"/>
            <w:szCs w:val="25"/>
          </w:rPr>
          <w:t>Avoiding medicare fraud and abuse: A roadmap for physicians</w:t>
        </w:r>
      </w:hyperlink>
      <w:r w:rsidRPr="1B4F97BA">
        <w:rPr>
          <w:rFonts w:ascii="Calibri" w:eastAsia="Calibri" w:hAnsi="Calibri" w:cs="Calibri"/>
          <w:color w:val="0F6DA8"/>
          <w:sz w:val="25"/>
          <w:szCs w:val="25"/>
        </w:rPr>
        <w:t xml:space="preserve">. Retrieved from </w:t>
      </w:r>
      <w:hyperlink r:id="rId6">
        <w:r w:rsidRPr="1B4F97BA">
          <w:rPr>
            <w:rStyle w:val="Hyperlink"/>
            <w:rFonts w:ascii="Calibri" w:eastAsia="Calibri" w:hAnsi="Calibri" w:cs="Calibri"/>
            <w:color w:val="0F6DA8"/>
            <w:sz w:val="25"/>
            <w:szCs w:val="25"/>
          </w:rPr>
          <w:t>https://www.cms.gov/Outreach-and-Education/Medicare-Learning-Network-MLN/MLNProducts/Downloads/Avoiding_Medicare_FandA_Physicians_FactSheet_905645.pdf</w:t>
        </w:r>
      </w:hyperlink>
    </w:p>
    <w:p w14:paraId="3E258FAB" w14:textId="7507B34E" w:rsidR="1B4F97BA" w:rsidRDefault="1B4F97BA" w:rsidP="1B4F97BA">
      <w:pPr>
        <w:pStyle w:val="ListParagraph"/>
        <w:numPr>
          <w:ilvl w:val="3"/>
          <w:numId w:val="1"/>
        </w:numPr>
        <w:rPr>
          <w:rFonts w:eastAsiaTheme="minorEastAsia"/>
          <w:color w:val="222222"/>
          <w:sz w:val="25"/>
          <w:szCs w:val="25"/>
        </w:rPr>
      </w:pPr>
      <w:r w:rsidRPr="1B4F97BA">
        <w:rPr>
          <w:rFonts w:ascii="Calibri" w:eastAsia="Calibri" w:hAnsi="Calibri" w:cs="Calibri"/>
          <w:color w:val="222222"/>
          <w:sz w:val="25"/>
          <w:szCs w:val="25"/>
        </w:rPr>
        <w:lastRenderedPageBreak/>
        <w:t>United States Department of Health and Human Services &amp; Office of Inspector General. (</w:t>
      </w:r>
      <w:proofErr w:type="spellStart"/>
      <w:r w:rsidRPr="1B4F97BA">
        <w:rPr>
          <w:rFonts w:ascii="Calibri" w:eastAsia="Calibri" w:hAnsi="Calibri" w:cs="Calibri"/>
          <w:color w:val="222222"/>
          <w:sz w:val="25"/>
          <w:szCs w:val="25"/>
        </w:rPr>
        <w:t>n.d.</w:t>
      </w:r>
      <w:proofErr w:type="spellEnd"/>
      <w:r w:rsidRPr="1B4F97BA">
        <w:rPr>
          <w:rFonts w:ascii="Calibri" w:eastAsia="Calibri" w:hAnsi="Calibri" w:cs="Calibri"/>
          <w:color w:val="222222"/>
          <w:sz w:val="25"/>
          <w:szCs w:val="25"/>
        </w:rPr>
        <w:t xml:space="preserve">). </w:t>
      </w:r>
      <w:hyperlink r:id="rId7">
        <w:r w:rsidRPr="1B4F97BA">
          <w:rPr>
            <w:rStyle w:val="Hyperlink"/>
            <w:rFonts w:ascii="Calibri" w:eastAsia="Calibri" w:hAnsi="Calibri" w:cs="Calibri"/>
            <w:color w:val="0F6DA8"/>
            <w:sz w:val="25"/>
            <w:szCs w:val="25"/>
          </w:rPr>
          <w:t>Compliance education materials: Compliance 101</w:t>
        </w:r>
      </w:hyperlink>
      <w:r w:rsidRPr="1B4F97BA">
        <w:rPr>
          <w:rFonts w:ascii="Calibri" w:eastAsia="Calibri" w:hAnsi="Calibri" w:cs="Calibri"/>
          <w:color w:val="0F6DA8"/>
          <w:sz w:val="25"/>
          <w:szCs w:val="25"/>
        </w:rPr>
        <w:t xml:space="preserve">. Retrieved from </w:t>
      </w:r>
      <w:hyperlink r:id="rId8">
        <w:r w:rsidRPr="1B4F97BA">
          <w:rPr>
            <w:rStyle w:val="Hyperlink"/>
            <w:rFonts w:ascii="Calibri" w:eastAsia="Calibri" w:hAnsi="Calibri" w:cs="Calibri"/>
            <w:color w:val="0F6DA8"/>
            <w:sz w:val="25"/>
            <w:szCs w:val="25"/>
          </w:rPr>
          <w:t>https://oig.hhs.gov/compliance/101/</w:t>
        </w:r>
      </w:hyperlink>
    </w:p>
    <w:p w14:paraId="74C08B49" w14:textId="7B691CE6" w:rsidR="1B4F97BA" w:rsidRDefault="1B4F97BA" w:rsidP="1B4F97BA">
      <w:pPr>
        <w:pStyle w:val="Heading4"/>
      </w:pPr>
      <w:r w:rsidRPr="1B4F97BA">
        <w:rPr>
          <w:rFonts w:ascii="Calibri" w:eastAsia="Calibri" w:hAnsi="Calibri" w:cs="Calibri"/>
          <w:color w:val="222222"/>
          <w:sz w:val="40"/>
          <w:szCs w:val="40"/>
        </w:rPr>
        <w:t>Additional Requirements</w:t>
      </w:r>
    </w:p>
    <w:p w14:paraId="527C5D18" w14:textId="3BF4ED3F"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 xml:space="preserve">Written communication: Use the linked </w:t>
      </w:r>
      <w:hyperlink r:id="rId9">
        <w:r w:rsidRPr="1B4F97BA">
          <w:rPr>
            <w:rStyle w:val="Hyperlink"/>
            <w:rFonts w:ascii="Calibri" w:eastAsia="Calibri" w:hAnsi="Calibri" w:cs="Calibri"/>
            <w:color w:val="0F6DA8"/>
            <w:sz w:val="25"/>
            <w:szCs w:val="25"/>
          </w:rPr>
          <w:t xml:space="preserve">Identifying and Addressing </w:t>
        </w:r>
        <w:proofErr w:type="spellStart"/>
        <w:r w:rsidRPr="1B4F97BA">
          <w:rPr>
            <w:rStyle w:val="Hyperlink"/>
            <w:rFonts w:ascii="Calibri" w:eastAsia="Calibri" w:hAnsi="Calibri" w:cs="Calibri"/>
            <w:color w:val="0F6DA8"/>
            <w:sz w:val="25"/>
            <w:szCs w:val="25"/>
          </w:rPr>
          <w:t>Upcoding</w:t>
        </w:r>
        <w:proofErr w:type="spellEnd"/>
        <w:r w:rsidRPr="1B4F97BA">
          <w:rPr>
            <w:rStyle w:val="Hyperlink"/>
            <w:rFonts w:ascii="Calibri" w:eastAsia="Calibri" w:hAnsi="Calibri" w:cs="Calibri"/>
            <w:color w:val="0F6DA8"/>
            <w:sz w:val="25"/>
            <w:szCs w:val="25"/>
          </w:rPr>
          <w:t xml:space="preserve"> Template</w:t>
        </w:r>
      </w:hyperlink>
      <w:r w:rsidRPr="1B4F97BA">
        <w:rPr>
          <w:rFonts w:ascii="Calibri" w:eastAsia="Calibri" w:hAnsi="Calibri" w:cs="Calibri"/>
          <w:color w:val="0F6DA8"/>
          <w:sz w:val="25"/>
          <w:szCs w:val="25"/>
        </w:rPr>
        <w:t xml:space="preserve"> [DOCX]. Ensure your workplace brief is clear, succinct, well-organized, and generally free of errors in grammar, punctuation, and spelling. </w:t>
      </w:r>
    </w:p>
    <w:p w14:paraId="50730E40" w14:textId="14A2059A"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Length: Approximately 5–7 single-spaced content pages in Times New Roman, 12-point font, including the reference page.</w:t>
      </w:r>
    </w:p>
    <w:p w14:paraId="794C4FD2" w14:textId="65CFF091"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Title page: Develop a descriptive title of approximately 5–15 words. It should stir interest, yet maintain professional decorum. Ensure that your title page conforms to current APA format.</w:t>
      </w:r>
    </w:p>
    <w:p w14:paraId="764DADBA" w14:textId="5007B990"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References: Include a minimum of 6 current (within the past 5 years), authoritative citations in current APA format. Include a separate reference page that also conforms to APA guidelines.</w:t>
      </w:r>
    </w:p>
    <w:p w14:paraId="247F0E38" w14:textId="023B7B36" w:rsidR="1B4F97BA" w:rsidRDefault="1B4F97BA" w:rsidP="1B4F97BA">
      <w:pPr>
        <w:pStyle w:val="ListParagraph"/>
        <w:numPr>
          <w:ilvl w:val="1"/>
          <w:numId w:val="1"/>
        </w:numPr>
        <w:rPr>
          <w:rFonts w:eastAsiaTheme="minorEastAsia"/>
          <w:color w:val="222222"/>
          <w:sz w:val="25"/>
          <w:szCs w:val="25"/>
        </w:rPr>
      </w:pPr>
      <w:r w:rsidRPr="1B4F97BA">
        <w:rPr>
          <w:rFonts w:ascii="Calibri" w:eastAsia="Calibri" w:hAnsi="Calibri" w:cs="Calibri"/>
          <w:color w:val="222222"/>
          <w:sz w:val="25"/>
          <w:szCs w:val="25"/>
        </w:rPr>
        <w:t>Scoring guide: Review the scoring guide for this assessment so that you understand how your faculty member is going to evaluate your work.</w:t>
      </w:r>
    </w:p>
    <w:p w14:paraId="74D43A1E" w14:textId="6C730CED" w:rsidR="1B4F97BA" w:rsidRDefault="1B4F97BA" w:rsidP="1B4F97BA"/>
    <w:sectPr w:rsidR="1B4F9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A87D02"/>
    <w:multiLevelType w:val="hybridMultilevel"/>
    <w:tmpl w:val="2250A5DE"/>
    <w:lvl w:ilvl="0" w:tplc="B2FCE9B2">
      <w:start w:val="1"/>
      <w:numFmt w:val="bullet"/>
      <w:lvlText w:val=""/>
      <w:lvlJc w:val="left"/>
      <w:pPr>
        <w:ind w:left="720" w:hanging="360"/>
      </w:pPr>
      <w:rPr>
        <w:rFonts w:ascii="Symbol" w:hAnsi="Symbol" w:hint="default"/>
      </w:rPr>
    </w:lvl>
    <w:lvl w:ilvl="1" w:tplc="FDA69400">
      <w:start w:val="1"/>
      <w:numFmt w:val="bullet"/>
      <w:lvlText w:val="o"/>
      <w:lvlJc w:val="left"/>
      <w:pPr>
        <w:ind w:left="1440" w:hanging="360"/>
      </w:pPr>
      <w:rPr>
        <w:rFonts w:ascii="Courier New" w:hAnsi="Courier New" w:hint="default"/>
      </w:rPr>
    </w:lvl>
    <w:lvl w:ilvl="2" w:tplc="2844468A">
      <w:start w:val="1"/>
      <w:numFmt w:val="bullet"/>
      <w:lvlText w:val=""/>
      <w:lvlJc w:val="left"/>
      <w:pPr>
        <w:ind w:left="2160" w:hanging="360"/>
      </w:pPr>
      <w:rPr>
        <w:rFonts w:ascii="Wingdings" w:hAnsi="Wingdings" w:hint="default"/>
      </w:rPr>
    </w:lvl>
    <w:lvl w:ilvl="3" w:tplc="B0CE860C">
      <w:start w:val="1"/>
      <w:numFmt w:val="bullet"/>
      <w:lvlText w:val=""/>
      <w:lvlJc w:val="left"/>
      <w:pPr>
        <w:ind w:left="2880" w:hanging="360"/>
      </w:pPr>
      <w:rPr>
        <w:rFonts w:ascii="Symbol" w:hAnsi="Symbol" w:hint="default"/>
      </w:rPr>
    </w:lvl>
    <w:lvl w:ilvl="4" w:tplc="ECB0B866">
      <w:start w:val="1"/>
      <w:numFmt w:val="bullet"/>
      <w:lvlText w:val="o"/>
      <w:lvlJc w:val="left"/>
      <w:pPr>
        <w:ind w:left="3600" w:hanging="360"/>
      </w:pPr>
      <w:rPr>
        <w:rFonts w:ascii="Courier New" w:hAnsi="Courier New" w:hint="default"/>
      </w:rPr>
    </w:lvl>
    <w:lvl w:ilvl="5" w:tplc="D2D60246">
      <w:start w:val="1"/>
      <w:numFmt w:val="bullet"/>
      <w:lvlText w:val=""/>
      <w:lvlJc w:val="left"/>
      <w:pPr>
        <w:ind w:left="4320" w:hanging="360"/>
      </w:pPr>
      <w:rPr>
        <w:rFonts w:ascii="Wingdings" w:hAnsi="Wingdings" w:hint="default"/>
      </w:rPr>
    </w:lvl>
    <w:lvl w:ilvl="6" w:tplc="8884CC40">
      <w:start w:val="1"/>
      <w:numFmt w:val="bullet"/>
      <w:lvlText w:val=""/>
      <w:lvlJc w:val="left"/>
      <w:pPr>
        <w:ind w:left="5040" w:hanging="360"/>
      </w:pPr>
      <w:rPr>
        <w:rFonts w:ascii="Symbol" w:hAnsi="Symbol" w:hint="default"/>
      </w:rPr>
    </w:lvl>
    <w:lvl w:ilvl="7" w:tplc="343A1FD4">
      <w:start w:val="1"/>
      <w:numFmt w:val="bullet"/>
      <w:lvlText w:val="o"/>
      <w:lvlJc w:val="left"/>
      <w:pPr>
        <w:ind w:left="5760" w:hanging="360"/>
      </w:pPr>
      <w:rPr>
        <w:rFonts w:ascii="Courier New" w:hAnsi="Courier New" w:hint="default"/>
      </w:rPr>
    </w:lvl>
    <w:lvl w:ilvl="8" w:tplc="6F8CB33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8698C"/>
    <w:rsid w:val="00123ECF"/>
    <w:rsid w:val="1B4F97BA"/>
    <w:rsid w:val="59B8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8698C"/>
  <w15:chartTrackingRefBased/>
  <w15:docId w15:val="{16F989FD-CD12-4BE7-AD73-FF65DB1B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ig.hhs.gov/compliance/101/" TargetMode="External"/><Relationship Id="rId3" Type="http://schemas.openxmlformats.org/officeDocument/2006/relationships/settings" Target="settings.xml"/><Relationship Id="rId7" Type="http://schemas.openxmlformats.org/officeDocument/2006/relationships/hyperlink" Target="https://oig.hhs.gov/compliance/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ms.gov/Outreach-and-Education/Medicare-Learning-Network-MLN/MLNProducts/Downloads/Avoiding_Medicare_FandA_Physicians_FactSheet_905645.pdf" TargetMode="External"/><Relationship Id="rId11" Type="http://schemas.openxmlformats.org/officeDocument/2006/relationships/theme" Target="theme/theme1.xml"/><Relationship Id="rId5" Type="http://schemas.openxmlformats.org/officeDocument/2006/relationships/hyperlink" Target="https://www.cms.gov/Outreach-and-Education/Medicare-Learning-Network-MLN/MLNProducts/Downloads/Avoiding_Medicare_FandA_Physicians_FactSheet_905645.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urserooma.capella.edu/bbcswebdav/institution/BHA-FPX/BHA-FPX4006/180700/Course_Files/cf_identifying_and_addressing_upcoding_templa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2020-01-24T06:57:00Z</dcterms:created>
  <dcterms:modified xsi:type="dcterms:W3CDTF">2020-01-24T06:57:00Z</dcterms:modified>
</cp:coreProperties>
</file>